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09C6" w14:textId="7302BED5" w:rsidR="00493791" w:rsidRPr="00BA7C96" w:rsidRDefault="00EF6D65" w:rsidP="00493791">
      <w:pPr>
        <w:jc w:val="right"/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>12</w:t>
      </w:r>
      <w:r w:rsidRPr="00BA7C96">
        <w:rPr>
          <w:rFonts w:ascii="Lora" w:hAnsi="Lora"/>
          <w:sz w:val="20"/>
          <w:szCs w:val="20"/>
          <w:vertAlign w:val="superscript"/>
        </w:rPr>
        <w:t>th</w:t>
      </w:r>
      <w:r w:rsidR="00AE3202" w:rsidRPr="00BA7C96">
        <w:rPr>
          <w:rFonts w:ascii="Lora" w:hAnsi="Lora"/>
          <w:sz w:val="20"/>
          <w:szCs w:val="20"/>
        </w:rPr>
        <w:t xml:space="preserve"> </w:t>
      </w:r>
      <w:r w:rsidRPr="00BA7C96">
        <w:rPr>
          <w:rFonts w:ascii="Lora" w:hAnsi="Lora"/>
          <w:sz w:val="20"/>
          <w:szCs w:val="20"/>
        </w:rPr>
        <w:t>July</w:t>
      </w:r>
      <w:r w:rsidR="009C54B2" w:rsidRPr="00BA7C96">
        <w:rPr>
          <w:rFonts w:ascii="Lora" w:hAnsi="Lora"/>
          <w:sz w:val="20"/>
          <w:szCs w:val="20"/>
        </w:rPr>
        <w:t xml:space="preserve"> </w:t>
      </w:r>
      <w:r w:rsidR="00493791" w:rsidRPr="00BA7C96">
        <w:rPr>
          <w:rFonts w:ascii="Lora" w:hAnsi="Lora"/>
          <w:sz w:val="20"/>
          <w:szCs w:val="20"/>
        </w:rPr>
        <w:t>202</w:t>
      </w:r>
      <w:r w:rsidR="009C54B2" w:rsidRPr="00BA7C96">
        <w:rPr>
          <w:rFonts w:ascii="Lora" w:hAnsi="Lora"/>
          <w:sz w:val="20"/>
          <w:szCs w:val="20"/>
        </w:rPr>
        <w:t>2</w:t>
      </w:r>
    </w:p>
    <w:p w14:paraId="3E604DB4" w14:textId="77777777" w:rsidR="00493791" w:rsidRPr="00BA7C96" w:rsidRDefault="00493791" w:rsidP="00493791">
      <w:pPr>
        <w:spacing w:after="0" w:line="240" w:lineRule="auto"/>
        <w:rPr>
          <w:rFonts w:ascii="Lora" w:hAnsi="Lora"/>
          <w:sz w:val="20"/>
          <w:szCs w:val="20"/>
        </w:rPr>
      </w:pPr>
    </w:p>
    <w:p w14:paraId="3FF4D749" w14:textId="4225C76C" w:rsidR="00493791" w:rsidRPr="00BA7C96" w:rsidRDefault="00493791" w:rsidP="00493791">
      <w:pPr>
        <w:spacing w:after="0" w:line="240" w:lineRule="auto"/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>The Board of Directors</w:t>
      </w:r>
    </w:p>
    <w:p w14:paraId="2EF3CF2E" w14:textId="18337353" w:rsidR="00493791" w:rsidRPr="00BA7C96" w:rsidRDefault="004C6F77" w:rsidP="00493791">
      <w:pPr>
        <w:spacing w:after="0" w:line="240" w:lineRule="auto"/>
        <w:rPr>
          <w:rFonts w:ascii="Lora" w:hAnsi="Lora"/>
          <w:sz w:val="20"/>
          <w:szCs w:val="20"/>
        </w:rPr>
      </w:pPr>
      <w:proofErr w:type="spellStart"/>
      <w:r w:rsidRPr="00BA7C96">
        <w:rPr>
          <w:rFonts w:ascii="Lora" w:hAnsi="Lora"/>
          <w:sz w:val="20"/>
          <w:szCs w:val="20"/>
        </w:rPr>
        <w:t>Fomento</w:t>
      </w:r>
      <w:proofErr w:type="spellEnd"/>
      <w:r w:rsidRPr="00BA7C96">
        <w:rPr>
          <w:rFonts w:ascii="Lora" w:hAnsi="Lora"/>
          <w:sz w:val="20"/>
          <w:szCs w:val="20"/>
        </w:rPr>
        <w:t xml:space="preserve"> </w:t>
      </w:r>
      <w:proofErr w:type="spellStart"/>
      <w:r w:rsidRPr="00BA7C96">
        <w:rPr>
          <w:rFonts w:ascii="Lora" w:hAnsi="Lora"/>
          <w:sz w:val="20"/>
          <w:szCs w:val="20"/>
        </w:rPr>
        <w:t>Economico</w:t>
      </w:r>
      <w:proofErr w:type="spellEnd"/>
      <w:r w:rsidRPr="00BA7C96">
        <w:rPr>
          <w:rFonts w:ascii="Lora" w:hAnsi="Lora"/>
          <w:sz w:val="20"/>
          <w:szCs w:val="20"/>
        </w:rPr>
        <w:t xml:space="preserve"> </w:t>
      </w:r>
      <w:proofErr w:type="spellStart"/>
      <w:r w:rsidRPr="00BA7C96">
        <w:rPr>
          <w:rFonts w:ascii="Lora" w:hAnsi="Lora"/>
          <w:sz w:val="20"/>
          <w:szCs w:val="20"/>
        </w:rPr>
        <w:t>Mexicano</w:t>
      </w:r>
      <w:proofErr w:type="spellEnd"/>
      <w:r w:rsidR="00716A57" w:rsidRPr="00BA7C96">
        <w:rPr>
          <w:rFonts w:ascii="Lora" w:hAnsi="Lora"/>
          <w:sz w:val="20"/>
          <w:szCs w:val="20"/>
        </w:rPr>
        <w:t>, S.A.B. de C.V.</w:t>
      </w:r>
    </w:p>
    <w:p w14:paraId="5A5FF25F" w14:textId="4FC8385F" w:rsidR="00493791" w:rsidRPr="00BA7C96" w:rsidRDefault="00716A57" w:rsidP="00493791">
      <w:pPr>
        <w:spacing w:after="0" w:line="240" w:lineRule="auto"/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 xml:space="preserve">General Anaya No. 601 </w:t>
      </w:r>
      <w:proofErr w:type="spellStart"/>
      <w:r w:rsidRPr="00BA7C96">
        <w:rPr>
          <w:rFonts w:ascii="Lora" w:hAnsi="Lora"/>
          <w:sz w:val="20"/>
          <w:szCs w:val="20"/>
        </w:rPr>
        <w:t>Pte.</w:t>
      </w:r>
      <w:proofErr w:type="spellEnd"/>
      <w:r w:rsidRPr="00BA7C96">
        <w:rPr>
          <w:rFonts w:ascii="Lora" w:hAnsi="Lora"/>
          <w:sz w:val="20"/>
          <w:szCs w:val="20"/>
        </w:rPr>
        <w:t xml:space="preserve">, </w:t>
      </w:r>
    </w:p>
    <w:p w14:paraId="3A0E5E59" w14:textId="67043AE1" w:rsidR="00716A57" w:rsidRPr="00BA7C96" w:rsidRDefault="00716A57" w:rsidP="00493791">
      <w:pPr>
        <w:spacing w:after="0" w:line="240" w:lineRule="auto"/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>Colonia Bella Vista</w:t>
      </w:r>
    </w:p>
    <w:p w14:paraId="308B3ED4" w14:textId="257AC90F" w:rsidR="00716A57" w:rsidRPr="00BA7C96" w:rsidRDefault="00716A57" w:rsidP="00493791">
      <w:pPr>
        <w:spacing w:after="0" w:line="240" w:lineRule="auto"/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>Monterrey</w:t>
      </w:r>
      <w:r w:rsidR="003A3F80" w:rsidRPr="00BA7C96">
        <w:rPr>
          <w:rFonts w:ascii="Lora" w:hAnsi="Lora"/>
          <w:sz w:val="20"/>
          <w:szCs w:val="20"/>
        </w:rPr>
        <w:t>, NL 64410</w:t>
      </w:r>
    </w:p>
    <w:p w14:paraId="6AD0A536" w14:textId="4370E5FF" w:rsidR="003A3F80" w:rsidRPr="00BA7C96" w:rsidRDefault="003A3F80" w:rsidP="003A3F80">
      <w:pPr>
        <w:spacing w:after="0" w:line="240" w:lineRule="auto"/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>Mexico</w:t>
      </w:r>
    </w:p>
    <w:p w14:paraId="3875FA5B" w14:textId="77777777" w:rsidR="003A3F80" w:rsidRPr="00BA7C96" w:rsidRDefault="003A3F80" w:rsidP="003A3F80">
      <w:pPr>
        <w:spacing w:after="0" w:line="240" w:lineRule="auto"/>
        <w:rPr>
          <w:rFonts w:ascii="Lora" w:hAnsi="Lora"/>
          <w:sz w:val="20"/>
          <w:szCs w:val="20"/>
        </w:rPr>
      </w:pPr>
    </w:p>
    <w:p w14:paraId="7BE17EDE" w14:textId="21A8FBCD" w:rsidR="00493791" w:rsidRPr="00BA7C96" w:rsidRDefault="00493791" w:rsidP="00493791">
      <w:pPr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>Dear Members of the Board:</w:t>
      </w:r>
    </w:p>
    <w:p w14:paraId="60388357" w14:textId="4EADC733" w:rsidR="008F4A5B" w:rsidRPr="00BA7C96" w:rsidRDefault="008F4A5B" w:rsidP="008F4A5B">
      <w:pPr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>Talaria Capital manages U</w:t>
      </w:r>
      <w:r w:rsidR="00A14EF8" w:rsidRPr="00BA7C96">
        <w:rPr>
          <w:rFonts w:ascii="Lora" w:hAnsi="Lora"/>
          <w:sz w:val="20"/>
          <w:szCs w:val="20"/>
        </w:rPr>
        <w:t>S</w:t>
      </w:r>
      <w:r w:rsidRPr="00BA7C96">
        <w:rPr>
          <w:rFonts w:ascii="Lora" w:hAnsi="Lora"/>
          <w:sz w:val="20"/>
          <w:szCs w:val="20"/>
        </w:rPr>
        <w:t xml:space="preserve">D </w:t>
      </w:r>
      <w:r w:rsidR="00A14EF8" w:rsidRPr="00BA7C96">
        <w:rPr>
          <w:rFonts w:ascii="Lora" w:hAnsi="Lora"/>
          <w:sz w:val="20"/>
          <w:szCs w:val="20"/>
        </w:rPr>
        <w:t>5</w:t>
      </w:r>
      <w:r w:rsidR="003A3F80" w:rsidRPr="00BA7C96">
        <w:rPr>
          <w:rFonts w:ascii="Lora" w:hAnsi="Lora"/>
          <w:sz w:val="20"/>
          <w:szCs w:val="20"/>
        </w:rPr>
        <w:t>0</w:t>
      </w:r>
      <w:r w:rsidRPr="00BA7C96">
        <w:rPr>
          <w:rFonts w:ascii="Lora" w:hAnsi="Lora"/>
          <w:sz w:val="20"/>
          <w:szCs w:val="20"/>
        </w:rPr>
        <w:t xml:space="preserve">0m in its long-only global equity fund. Over the last decade </w:t>
      </w:r>
      <w:r w:rsidR="003C2570" w:rsidRPr="00BA7C96">
        <w:rPr>
          <w:rFonts w:ascii="Lora" w:hAnsi="Lora"/>
          <w:sz w:val="20"/>
          <w:szCs w:val="20"/>
        </w:rPr>
        <w:t>we</w:t>
      </w:r>
      <w:r w:rsidRPr="00BA7C96">
        <w:rPr>
          <w:rFonts w:ascii="Lora" w:hAnsi="Lora"/>
          <w:sz w:val="20"/>
          <w:szCs w:val="20"/>
        </w:rPr>
        <w:t xml:space="preserve"> ha</w:t>
      </w:r>
      <w:r w:rsidR="003C2570" w:rsidRPr="00BA7C96">
        <w:rPr>
          <w:rFonts w:ascii="Lora" w:hAnsi="Lora"/>
          <w:sz w:val="20"/>
          <w:szCs w:val="20"/>
        </w:rPr>
        <w:t>ve</w:t>
      </w:r>
      <w:r w:rsidRPr="00BA7C96">
        <w:rPr>
          <w:rFonts w:ascii="Lora" w:hAnsi="Lora"/>
          <w:sz w:val="20"/>
          <w:szCs w:val="20"/>
        </w:rPr>
        <w:t xml:space="preserve"> delivered compound annual returns of more than 10% with lower average market exposure than is usual.</w:t>
      </w:r>
    </w:p>
    <w:p w14:paraId="179970CB" w14:textId="11D73402" w:rsidR="00493791" w:rsidRPr="00BA7C96" w:rsidRDefault="00F84DA1" w:rsidP="00202037">
      <w:pPr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 xml:space="preserve">We own </w:t>
      </w:r>
      <w:r w:rsidR="00C5297A" w:rsidRPr="00BA7C96">
        <w:rPr>
          <w:rFonts w:ascii="Lora" w:hAnsi="Lora"/>
          <w:sz w:val="20"/>
          <w:szCs w:val="20"/>
        </w:rPr>
        <w:t>over</w:t>
      </w:r>
      <w:r w:rsidR="000B722B" w:rsidRPr="00BA7C96">
        <w:rPr>
          <w:rFonts w:ascii="Lora" w:hAnsi="Lora"/>
          <w:sz w:val="20"/>
          <w:szCs w:val="20"/>
        </w:rPr>
        <w:t xml:space="preserve"> </w:t>
      </w:r>
      <w:r w:rsidR="00283DC9" w:rsidRPr="00BA7C96">
        <w:rPr>
          <w:rFonts w:ascii="Lora" w:hAnsi="Lora"/>
          <w:sz w:val="20"/>
          <w:szCs w:val="20"/>
        </w:rPr>
        <w:t>21</w:t>
      </w:r>
      <w:r w:rsidR="000B722B" w:rsidRPr="00BA7C96">
        <w:rPr>
          <w:rFonts w:ascii="Lora" w:hAnsi="Lora"/>
          <w:sz w:val="20"/>
          <w:szCs w:val="20"/>
        </w:rPr>
        <w:t xml:space="preserve">5,000 shares of </w:t>
      </w:r>
      <w:r w:rsidR="003C2570" w:rsidRPr="00BA7C96">
        <w:rPr>
          <w:rFonts w:ascii="Lora" w:hAnsi="Lora"/>
          <w:sz w:val="20"/>
          <w:szCs w:val="20"/>
        </w:rPr>
        <w:t>FEMSA in the Fund</w:t>
      </w:r>
      <w:r w:rsidR="00E22C91" w:rsidRPr="00BA7C96">
        <w:rPr>
          <w:rFonts w:ascii="Lora" w:hAnsi="Lora"/>
          <w:sz w:val="20"/>
          <w:szCs w:val="20"/>
        </w:rPr>
        <w:t xml:space="preserve">. </w:t>
      </w:r>
      <w:r w:rsidR="00283DC9" w:rsidRPr="00BA7C96">
        <w:rPr>
          <w:rFonts w:ascii="Lora" w:hAnsi="Lora"/>
          <w:sz w:val="20"/>
          <w:szCs w:val="20"/>
        </w:rPr>
        <w:t xml:space="preserve">The investment case </w:t>
      </w:r>
      <w:r w:rsidR="00F600B5" w:rsidRPr="00BA7C96">
        <w:rPr>
          <w:rFonts w:ascii="Lora" w:hAnsi="Lora"/>
          <w:sz w:val="20"/>
          <w:szCs w:val="20"/>
        </w:rPr>
        <w:t xml:space="preserve">for FEMSA </w:t>
      </w:r>
      <w:r w:rsidR="00283DC9" w:rsidRPr="00BA7C96">
        <w:rPr>
          <w:rFonts w:ascii="Lora" w:hAnsi="Lora"/>
          <w:sz w:val="20"/>
          <w:szCs w:val="20"/>
        </w:rPr>
        <w:t xml:space="preserve">hinges on the </w:t>
      </w:r>
      <w:r w:rsidR="00145605" w:rsidRPr="00BA7C96">
        <w:rPr>
          <w:rFonts w:ascii="Lora" w:hAnsi="Lora"/>
          <w:sz w:val="20"/>
          <w:szCs w:val="20"/>
        </w:rPr>
        <w:t xml:space="preserve">reinvestment of cash flows into the high returning </w:t>
      </w:r>
      <w:r w:rsidR="007435AE" w:rsidRPr="00BA7C96">
        <w:rPr>
          <w:rFonts w:ascii="Lora" w:hAnsi="Lora"/>
          <w:sz w:val="20"/>
          <w:szCs w:val="20"/>
        </w:rPr>
        <w:t>Comercio stores</w:t>
      </w:r>
      <w:r w:rsidR="00812828" w:rsidRPr="00BA7C96">
        <w:rPr>
          <w:rFonts w:ascii="Lora" w:hAnsi="Lora"/>
          <w:sz w:val="20"/>
          <w:szCs w:val="20"/>
        </w:rPr>
        <w:t xml:space="preserve">. </w:t>
      </w:r>
    </w:p>
    <w:p w14:paraId="7488CEFF" w14:textId="77777777" w:rsidR="00493791" w:rsidRPr="00BA7C96" w:rsidRDefault="00493791" w:rsidP="00493791">
      <w:pPr>
        <w:rPr>
          <w:rFonts w:ascii="Lora" w:hAnsi="Lora"/>
          <w:b/>
          <w:bCs/>
          <w:sz w:val="20"/>
          <w:szCs w:val="20"/>
        </w:rPr>
      </w:pPr>
      <w:r w:rsidRPr="00BA7C96">
        <w:rPr>
          <w:rFonts w:ascii="Lora" w:hAnsi="Lora"/>
          <w:b/>
          <w:bCs/>
          <w:sz w:val="20"/>
          <w:szCs w:val="20"/>
        </w:rPr>
        <w:t>Engagement</w:t>
      </w:r>
    </w:p>
    <w:p w14:paraId="3F79EFC4" w14:textId="5A23158F" w:rsidR="00493791" w:rsidRPr="00BA7C96" w:rsidRDefault="00913B89" w:rsidP="00493791">
      <w:pPr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>W</w:t>
      </w:r>
      <w:r w:rsidR="00812828" w:rsidRPr="00BA7C96">
        <w:rPr>
          <w:rFonts w:ascii="Lora" w:hAnsi="Lora"/>
          <w:sz w:val="20"/>
          <w:szCs w:val="20"/>
        </w:rPr>
        <w:t xml:space="preserve">e consider various ESG factors as </w:t>
      </w:r>
      <w:r w:rsidR="00493791" w:rsidRPr="00BA7C96">
        <w:rPr>
          <w:rFonts w:ascii="Lora" w:hAnsi="Lora"/>
          <w:sz w:val="20"/>
          <w:szCs w:val="20"/>
        </w:rPr>
        <w:t xml:space="preserve">part of our investment </w:t>
      </w:r>
      <w:r w:rsidR="00C97CB8" w:rsidRPr="00BA7C96">
        <w:rPr>
          <w:rFonts w:ascii="Lora" w:hAnsi="Lora"/>
          <w:sz w:val="20"/>
          <w:szCs w:val="20"/>
        </w:rPr>
        <w:t>process</w:t>
      </w:r>
      <w:r w:rsidR="00493791" w:rsidRPr="00BA7C96">
        <w:rPr>
          <w:rFonts w:ascii="Lora" w:hAnsi="Lora"/>
          <w:sz w:val="20"/>
          <w:szCs w:val="20"/>
        </w:rPr>
        <w:t>. We believe that risks associated with ESG can, amongst others, affect profitability, cost of capital</w:t>
      </w:r>
      <w:r w:rsidR="00C97CB8" w:rsidRPr="00BA7C96">
        <w:rPr>
          <w:rFonts w:ascii="Lora" w:hAnsi="Lora"/>
          <w:sz w:val="20"/>
          <w:szCs w:val="20"/>
        </w:rPr>
        <w:t>,</w:t>
      </w:r>
      <w:r w:rsidR="00493791" w:rsidRPr="00BA7C96">
        <w:rPr>
          <w:rFonts w:ascii="Lora" w:hAnsi="Lora"/>
          <w:sz w:val="20"/>
          <w:szCs w:val="20"/>
        </w:rPr>
        <w:t xml:space="preserve"> and </w:t>
      </w:r>
      <w:r w:rsidR="005B752F" w:rsidRPr="00BA7C96">
        <w:rPr>
          <w:rFonts w:ascii="Lora" w:hAnsi="Lora"/>
          <w:sz w:val="20"/>
          <w:szCs w:val="20"/>
        </w:rPr>
        <w:t xml:space="preserve">ultimately </w:t>
      </w:r>
      <w:r w:rsidR="00493791" w:rsidRPr="00BA7C96">
        <w:rPr>
          <w:rFonts w:ascii="Lora" w:hAnsi="Lora"/>
          <w:sz w:val="20"/>
          <w:szCs w:val="20"/>
        </w:rPr>
        <w:t xml:space="preserve">shareholder return. We also believe that these risks are growing as stakeholders become increasingly </w:t>
      </w:r>
      <w:r w:rsidR="009747B4" w:rsidRPr="00BA7C96">
        <w:rPr>
          <w:rFonts w:ascii="Lora" w:hAnsi="Lora"/>
          <w:sz w:val="20"/>
          <w:szCs w:val="20"/>
        </w:rPr>
        <w:t>concerned with such issues</w:t>
      </w:r>
      <w:r w:rsidR="00493791" w:rsidRPr="00BA7C96">
        <w:rPr>
          <w:rFonts w:ascii="Lora" w:hAnsi="Lora"/>
          <w:sz w:val="20"/>
          <w:szCs w:val="20"/>
        </w:rPr>
        <w:t>.</w:t>
      </w:r>
    </w:p>
    <w:p w14:paraId="43F01808" w14:textId="60852F9D" w:rsidR="00493791" w:rsidRPr="00BA7C96" w:rsidRDefault="0052349B" w:rsidP="00493791">
      <w:pPr>
        <w:rPr>
          <w:rFonts w:ascii="Lora" w:hAnsi="Lora"/>
          <w:b/>
          <w:bCs/>
          <w:sz w:val="20"/>
          <w:szCs w:val="20"/>
        </w:rPr>
      </w:pPr>
      <w:r w:rsidRPr="00BA7C96">
        <w:rPr>
          <w:rFonts w:ascii="Lora" w:hAnsi="Lora"/>
          <w:b/>
          <w:bCs/>
          <w:sz w:val="20"/>
          <w:szCs w:val="20"/>
        </w:rPr>
        <w:t>Governance</w:t>
      </w:r>
    </w:p>
    <w:p w14:paraId="6CD6BEF9" w14:textId="2A150D15" w:rsidR="00493791" w:rsidRPr="00BA7C96" w:rsidRDefault="00493791" w:rsidP="00493791">
      <w:pPr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 xml:space="preserve">Although garnering less attention than environmental </w:t>
      </w:r>
      <w:r w:rsidR="00F25AFA" w:rsidRPr="00BA7C96">
        <w:rPr>
          <w:rFonts w:ascii="Lora" w:hAnsi="Lora"/>
          <w:sz w:val="20"/>
          <w:szCs w:val="20"/>
        </w:rPr>
        <w:t xml:space="preserve">and social </w:t>
      </w:r>
      <w:r w:rsidRPr="00BA7C96">
        <w:rPr>
          <w:rFonts w:ascii="Lora" w:hAnsi="Lora"/>
          <w:sz w:val="20"/>
          <w:szCs w:val="20"/>
        </w:rPr>
        <w:t>impact</w:t>
      </w:r>
      <w:r w:rsidR="0052349B" w:rsidRPr="00BA7C96">
        <w:rPr>
          <w:rFonts w:ascii="Lora" w:hAnsi="Lora"/>
          <w:sz w:val="20"/>
          <w:szCs w:val="20"/>
        </w:rPr>
        <w:t>s</w:t>
      </w:r>
      <w:r w:rsidRPr="00BA7C96">
        <w:rPr>
          <w:rFonts w:ascii="Lora" w:hAnsi="Lora"/>
          <w:sz w:val="20"/>
          <w:szCs w:val="20"/>
        </w:rPr>
        <w:t xml:space="preserve">, </w:t>
      </w:r>
      <w:r w:rsidR="00702AA0" w:rsidRPr="00BA7C96">
        <w:rPr>
          <w:rFonts w:ascii="Lora" w:hAnsi="Lora"/>
          <w:sz w:val="20"/>
          <w:szCs w:val="20"/>
        </w:rPr>
        <w:t>governance</w:t>
      </w:r>
      <w:r w:rsidR="00C97CB8" w:rsidRPr="00BA7C96">
        <w:rPr>
          <w:rFonts w:ascii="Lora" w:hAnsi="Lora"/>
          <w:sz w:val="20"/>
          <w:szCs w:val="20"/>
        </w:rPr>
        <w:t xml:space="preserve"> factors</w:t>
      </w:r>
      <w:r w:rsidRPr="00BA7C96">
        <w:rPr>
          <w:rFonts w:ascii="Lora" w:hAnsi="Lora"/>
          <w:sz w:val="20"/>
          <w:szCs w:val="20"/>
        </w:rPr>
        <w:t xml:space="preserve"> </w:t>
      </w:r>
      <w:r w:rsidR="000623CE" w:rsidRPr="00BA7C96">
        <w:rPr>
          <w:rFonts w:ascii="Lora" w:hAnsi="Lora"/>
          <w:sz w:val="20"/>
          <w:szCs w:val="20"/>
        </w:rPr>
        <w:t>are</w:t>
      </w:r>
      <w:r w:rsidRPr="00BA7C96">
        <w:rPr>
          <w:rFonts w:ascii="Lora" w:hAnsi="Lora"/>
          <w:sz w:val="20"/>
          <w:szCs w:val="20"/>
        </w:rPr>
        <w:t xml:space="preserve"> important when considering whether to invest in a share. </w:t>
      </w:r>
    </w:p>
    <w:p w14:paraId="54CE2F81" w14:textId="77777777" w:rsidR="005F0661" w:rsidRPr="00BA7C96" w:rsidRDefault="00076CC9" w:rsidP="00493791">
      <w:pPr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 xml:space="preserve">We were disappointed by the recent announcement by FEMSA of the acquisition of </w:t>
      </w:r>
      <w:proofErr w:type="spellStart"/>
      <w:r w:rsidRPr="00BA7C96">
        <w:rPr>
          <w:rFonts w:ascii="Lora" w:hAnsi="Lora"/>
          <w:sz w:val="20"/>
          <w:szCs w:val="20"/>
        </w:rPr>
        <w:t>Valora</w:t>
      </w:r>
      <w:proofErr w:type="spellEnd"/>
      <w:r w:rsidRPr="00BA7C96">
        <w:rPr>
          <w:rFonts w:ascii="Lora" w:hAnsi="Lora"/>
          <w:sz w:val="20"/>
          <w:szCs w:val="20"/>
        </w:rPr>
        <w:t xml:space="preserve">. </w:t>
      </w:r>
      <w:r w:rsidR="0028075B" w:rsidRPr="00BA7C96">
        <w:rPr>
          <w:rFonts w:ascii="Lora" w:hAnsi="Lora"/>
          <w:sz w:val="20"/>
          <w:szCs w:val="20"/>
        </w:rPr>
        <w:t>It was surprising to see th</w:t>
      </w:r>
      <w:r w:rsidR="00D84F7F" w:rsidRPr="00BA7C96">
        <w:rPr>
          <w:rFonts w:ascii="Lora" w:hAnsi="Lora"/>
          <w:sz w:val="20"/>
          <w:szCs w:val="20"/>
        </w:rPr>
        <w:t xml:space="preserve">is acquisition justified on the grounds of “growth”: </w:t>
      </w:r>
      <w:r w:rsidR="00107BD0" w:rsidRPr="00BA7C96">
        <w:rPr>
          <w:rFonts w:ascii="Lora" w:hAnsi="Lora"/>
          <w:sz w:val="20"/>
          <w:szCs w:val="20"/>
        </w:rPr>
        <w:t>the last five years has seen a significant decrease in the number of outlets they operated as well as a decrease in revenues of 16%</w:t>
      </w:r>
      <w:r w:rsidR="002D6B96" w:rsidRPr="00BA7C96">
        <w:rPr>
          <w:rFonts w:ascii="Lora" w:hAnsi="Lora"/>
          <w:sz w:val="20"/>
          <w:szCs w:val="20"/>
        </w:rPr>
        <w:t xml:space="preserve">. </w:t>
      </w:r>
      <w:r w:rsidR="00DE01A5" w:rsidRPr="00BA7C96">
        <w:rPr>
          <w:rFonts w:ascii="Lora" w:hAnsi="Lora"/>
          <w:sz w:val="20"/>
          <w:szCs w:val="20"/>
        </w:rPr>
        <w:t xml:space="preserve">It is therefore difficult to see how this might </w:t>
      </w:r>
      <w:r w:rsidR="008C2B6F" w:rsidRPr="00BA7C96">
        <w:rPr>
          <w:rFonts w:ascii="Lora" w:hAnsi="Lora"/>
          <w:sz w:val="20"/>
          <w:szCs w:val="20"/>
        </w:rPr>
        <w:t xml:space="preserve">be called a </w:t>
      </w:r>
      <w:r w:rsidR="008B1822" w:rsidRPr="00BA7C96">
        <w:rPr>
          <w:rFonts w:ascii="Lora" w:hAnsi="Lora"/>
          <w:sz w:val="20"/>
          <w:szCs w:val="20"/>
        </w:rPr>
        <w:t>“</w:t>
      </w:r>
      <w:r w:rsidR="008C2B6F" w:rsidRPr="00BA7C96">
        <w:rPr>
          <w:rFonts w:ascii="Lora" w:hAnsi="Lora"/>
          <w:sz w:val="20"/>
          <w:szCs w:val="20"/>
        </w:rPr>
        <w:t>growth</w:t>
      </w:r>
      <w:r w:rsidR="008B1822" w:rsidRPr="00BA7C96">
        <w:rPr>
          <w:rFonts w:ascii="Lora" w:hAnsi="Lora"/>
          <w:sz w:val="20"/>
          <w:szCs w:val="20"/>
        </w:rPr>
        <w:t>”</w:t>
      </w:r>
      <w:r w:rsidR="008C2B6F" w:rsidRPr="00BA7C96">
        <w:rPr>
          <w:rFonts w:ascii="Lora" w:hAnsi="Lora"/>
          <w:sz w:val="20"/>
          <w:szCs w:val="20"/>
        </w:rPr>
        <w:t xml:space="preserve"> company rather than, at best, a </w:t>
      </w:r>
      <w:r w:rsidR="002A649D" w:rsidRPr="00BA7C96">
        <w:rPr>
          <w:rFonts w:ascii="Lora" w:hAnsi="Lora"/>
          <w:sz w:val="20"/>
          <w:szCs w:val="20"/>
        </w:rPr>
        <w:t>“</w:t>
      </w:r>
      <w:r w:rsidR="008C2B6F" w:rsidRPr="00BA7C96">
        <w:rPr>
          <w:rFonts w:ascii="Lora" w:hAnsi="Lora"/>
          <w:sz w:val="20"/>
          <w:szCs w:val="20"/>
        </w:rPr>
        <w:t>turnaround</w:t>
      </w:r>
      <w:r w:rsidR="002A649D" w:rsidRPr="00BA7C96">
        <w:rPr>
          <w:rFonts w:ascii="Lora" w:hAnsi="Lora"/>
          <w:sz w:val="20"/>
          <w:szCs w:val="20"/>
        </w:rPr>
        <w:t>”</w:t>
      </w:r>
      <w:r w:rsidR="008C2B6F" w:rsidRPr="00BA7C96">
        <w:rPr>
          <w:rFonts w:ascii="Lora" w:hAnsi="Lora"/>
          <w:sz w:val="20"/>
          <w:szCs w:val="20"/>
        </w:rPr>
        <w:t xml:space="preserve">. </w:t>
      </w:r>
    </w:p>
    <w:p w14:paraId="5BCDF809" w14:textId="69543E3E" w:rsidR="005F0661" w:rsidRPr="00BA7C96" w:rsidRDefault="005F0661" w:rsidP="00493791">
      <w:pPr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>It seems the market agrees with us given the destruction in value of FEMSA’s stock since the announcement is twice the purchase price.</w:t>
      </w:r>
    </w:p>
    <w:p w14:paraId="4397D40E" w14:textId="38703A4B" w:rsidR="00D11593" w:rsidRPr="00BA7C96" w:rsidRDefault="008C2B6F" w:rsidP="00493791">
      <w:pPr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 xml:space="preserve">Most importantly, if </w:t>
      </w:r>
      <w:r w:rsidR="000D2D73" w:rsidRPr="00BA7C96">
        <w:rPr>
          <w:rFonts w:ascii="Lora" w:hAnsi="Lora"/>
          <w:sz w:val="20"/>
          <w:szCs w:val="20"/>
        </w:rPr>
        <w:t xml:space="preserve">the FEMSA board wanted to invest in a growth stock then </w:t>
      </w:r>
      <w:r w:rsidR="00186DEA" w:rsidRPr="00BA7C96">
        <w:rPr>
          <w:rFonts w:ascii="Lora" w:hAnsi="Lora"/>
          <w:sz w:val="20"/>
          <w:szCs w:val="20"/>
        </w:rPr>
        <w:t xml:space="preserve">there is a far more obvious candidate close at hand: FEMSA’s stock itself. </w:t>
      </w:r>
      <w:r w:rsidR="002A649D" w:rsidRPr="00BA7C96">
        <w:rPr>
          <w:rFonts w:ascii="Lora" w:hAnsi="Lora"/>
          <w:sz w:val="20"/>
          <w:szCs w:val="20"/>
        </w:rPr>
        <w:t>It is our view that such a</w:t>
      </w:r>
      <w:r w:rsidR="002A4B3D" w:rsidRPr="00BA7C96">
        <w:rPr>
          <w:rFonts w:ascii="Lora" w:hAnsi="Lora"/>
          <w:sz w:val="20"/>
          <w:szCs w:val="20"/>
        </w:rPr>
        <w:t xml:space="preserve"> shareholder-friendly</w:t>
      </w:r>
      <w:r w:rsidR="002A649D" w:rsidRPr="00BA7C96">
        <w:rPr>
          <w:rFonts w:ascii="Lora" w:hAnsi="Lora"/>
          <w:sz w:val="20"/>
          <w:szCs w:val="20"/>
        </w:rPr>
        <w:t xml:space="preserve"> action</w:t>
      </w:r>
      <w:r w:rsidR="00172873" w:rsidRPr="00BA7C96">
        <w:rPr>
          <w:rFonts w:ascii="Lora" w:hAnsi="Lora"/>
          <w:sz w:val="20"/>
          <w:szCs w:val="20"/>
        </w:rPr>
        <w:t xml:space="preserve"> –</w:t>
      </w:r>
      <w:r w:rsidR="002A649D" w:rsidRPr="00BA7C96">
        <w:rPr>
          <w:rFonts w:ascii="Lora" w:hAnsi="Lora"/>
          <w:sz w:val="20"/>
          <w:szCs w:val="20"/>
        </w:rPr>
        <w:t xml:space="preserve"> or a special dividend</w:t>
      </w:r>
      <w:r w:rsidR="00172873" w:rsidRPr="00BA7C96">
        <w:rPr>
          <w:rFonts w:ascii="Lora" w:hAnsi="Lora"/>
          <w:sz w:val="20"/>
          <w:szCs w:val="20"/>
        </w:rPr>
        <w:t xml:space="preserve"> –</w:t>
      </w:r>
      <w:r w:rsidR="002A649D" w:rsidRPr="00BA7C96">
        <w:rPr>
          <w:rFonts w:ascii="Lora" w:hAnsi="Lora"/>
          <w:sz w:val="20"/>
          <w:szCs w:val="20"/>
        </w:rPr>
        <w:t xml:space="preserve"> would narrow the </w:t>
      </w:r>
      <w:r w:rsidR="005F0661" w:rsidRPr="00BA7C96">
        <w:rPr>
          <w:rFonts w:ascii="Lora" w:hAnsi="Lora"/>
          <w:sz w:val="20"/>
          <w:szCs w:val="20"/>
        </w:rPr>
        <w:t xml:space="preserve">stock’s </w:t>
      </w:r>
      <w:r w:rsidR="002A649D" w:rsidRPr="00BA7C96">
        <w:rPr>
          <w:rFonts w:ascii="Lora" w:hAnsi="Lora"/>
          <w:sz w:val="20"/>
          <w:szCs w:val="20"/>
        </w:rPr>
        <w:t xml:space="preserve">discount to NAV </w:t>
      </w:r>
      <w:r w:rsidR="001E49A4" w:rsidRPr="00BA7C96">
        <w:rPr>
          <w:rFonts w:ascii="Lora" w:hAnsi="Lora"/>
          <w:sz w:val="20"/>
          <w:szCs w:val="20"/>
        </w:rPr>
        <w:t>far more materially than any other possible action</w:t>
      </w:r>
      <w:r w:rsidR="00B67C39" w:rsidRPr="00BA7C96">
        <w:rPr>
          <w:rFonts w:ascii="Lora" w:hAnsi="Lora"/>
          <w:sz w:val="20"/>
          <w:szCs w:val="20"/>
        </w:rPr>
        <w:t xml:space="preserve">. </w:t>
      </w:r>
    </w:p>
    <w:p w14:paraId="0AF0830C" w14:textId="231885F4" w:rsidR="00644E2F" w:rsidRPr="00BA7C96" w:rsidRDefault="00AC3BD6" w:rsidP="00493791">
      <w:pPr>
        <w:rPr>
          <w:rFonts w:ascii="Lora" w:hAnsi="Lora"/>
          <w:sz w:val="20"/>
          <w:szCs w:val="20"/>
        </w:rPr>
      </w:pPr>
      <w:r>
        <w:rPr>
          <w:rFonts w:ascii="Lora" w:hAnsi="Lora"/>
          <w:sz w:val="20"/>
          <w:szCs w:val="20"/>
        </w:rPr>
        <w:t>Additionally</w:t>
      </w:r>
      <w:r w:rsidR="00644E2F" w:rsidRPr="00BA7C96">
        <w:rPr>
          <w:rFonts w:ascii="Lora" w:hAnsi="Lora"/>
          <w:sz w:val="20"/>
          <w:szCs w:val="20"/>
        </w:rPr>
        <w:t xml:space="preserve">, </w:t>
      </w:r>
      <w:r w:rsidR="00AE647C" w:rsidRPr="00BA7C96">
        <w:rPr>
          <w:rFonts w:ascii="Lora" w:hAnsi="Lora"/>
          <w:sz w:val="20"/>
          <w:szCs w:val="20"/>
        </w:rPr>
        <w:t xml:space="preserve">the convoluted shareholding structure makes it difficult </w:t>
      </w:r>
      <w:r w:rsidR="0058707C" w:rsidRPr="00BA7C96">
        <w:rPr>
          <w:rFonts w:ascii="Lora" w:hAnsi="Lora"/>
          <w:sz w:val="20"/>
          <w:szCs w:val="20"/>
        </w:rPr>
        <w:t xml:space="preserve">for investors to clearly see the value. </w:t>
      </w:r>
      <w:r w:rsidR="00C83C75" w:rsidRPr="00BA7C96">
        <w:rPr>
          <w:rFonts w:ascii="Lora" w:hAnsi="Lora"/>
          <w:sz w:val="20"/>
          <w:szCs w:val="20"/>
        </w:rPr>
        <w:t>We urge you to simplify the structure</w:t>
      </w:r>
      <w:r w:rsidR="00BA7C96" w:rsidRPr="00BA7C96">
        <w:rPr>
          <w:rFonts w:ascii="Lora" w:hAnsi="Lora"/>
          <w:sz w:val="20"/>
          <w:szCs w:val="20"/>
        </w:rPr>
        <w:t xml:space="preserve"> </w:t>
      </w:r>
      <w:r w:rsidRPr="00BA7C96">
        <w:rPr>
          <w:rFonts w:ascii="Lora" w:hAnsi="Lora"/>
          <w:sz w:val="20"/>
          <w:szCs w:val="20"/>
        </w:rPr>
        <w:t>to</w:t>
      </w:r>
      <w:r w:rsidR="00BA7C96" w:rsidRPr="00BA7C96">
        <w:rPr>
          <w:rFonts w:ascii="Lora" w:hAnsi="Lora"/>
          <w:sz w:val="20"/>
          <w:szCs w:val="20"/>
        </w:rPr>
        <w:t xml:space="preserve"> make the stock easier to analyse.</w:t>
      </w:r>
    </w:p>
    <w:p w14:paraId="34196A1C" w14:textId="04A3B6D3" w:rsidR="00493791" w:rsidRPr="00BA7C96" w:rsidRDefault="00493791" w:rsidP="00493791">
      <w:pPr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 xml:space="preserve">I thank the Board for considering Talaria’s thoughts </w:t>
      </w:r>
      <w:r w:rsidR="00FE1013" w:rsidRPr="00BA7C96">
        <w:rPr>
          <w:rFonts w:ascii="Lora" w:hAnsi="Lora"/>
          <w:sz w:val="20"/>
          <w:szCs w:val="20"/>
        </w:rPr>
        <w:t xml:space="preserve">on these matters </w:t>
      </w:r>
      <w:r w:rsidRPr="00BA7C96">
        <w:rPr>
          <w:rFonts w:ascii="Lora" w:hAnsi="Lora"/>
          <w:sz w:val="20"/>
          <w:szCs w:val="20"/>
        </w:rPr>
        <w:t xml:space="preserve">and I look forward to hearing </w:t>
      </w:r>
      <w:r w:rsidR="00F25AFA" w:rsidRPr="00BA7C96">
        <w:rPr>
          <w:rFonts w:ascii="Lora" w:hAnsi="Lora"/>
          <w:sz w:val="20"/>
          <w:szCs w:val="20"/>
        </w:rPr>
        <w:t>from you</w:t>
      </w:r>
      <w:r w:rsidRPr="00BA7C96">
        <w:rPr>
          <w:rFonts w:ascii="Lora" w:hAnsi="Lora"/>
          <w:sz w:val="20"/>
          <w:szCs w:val="20"/>
        </w:rPr>
        <w:t xml:space="preserve">. </w:t>
      </w:r>
    </w:p>
    <w:p w14:paraId="4E088E3C" w14:textId="2AB9E307" w:rsidR="00493791" w:rsidRPr="00BA7C96" w:rsidRDefault="00FE1013" w:rsidP="00493791">
      <w:pPr>
        <w:spacing w:after="0"/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>Yours sincerely</w:t>
      </w:r>
      <w:r w:rsidR="00493791" w:rsidRPr="00BA7C96">
        <w:rPr>
          <w:rFonts w:ascii="Lora" w:hAnsi="Lora"/>
          <w:sz w:val="20"/>
          <w:szCs w:val="20"/>
        </w:rPr>
        <w:t xml:space="preserve">, </w:t>
      </w:r>
    </w:p>
    <w:p w14:paraId="39457A60" w14:textId="77777777" w:rsidR="00493791" w:rsidRPr="00BA7C96" w:rsidRDefault="00493791" w:rsidP="00493791">
      <w:pPr>
        <w:spacing w:after="0"/>
        <w:rPr>
          <w:rFonts w:ascii="Lora" w:hAnsi="Lora"/>
          <w:sz w:val="20"/>
          <w:szCs w:val="20"/>
        </w:rPr>
      </w:pPr>
    </w:p>
    <w:p w14:paraId="45A84A44" w14:textId="38474C99" w:rsidR="00493791" w:rsidRPr="00BA7C96" w:rsidRDefault="00493791" w:rsidP="00493791">
      <w:pPr>
        <w:spacing w:after="0"/>
        <w:rPr>
          <w:rFonts w:ascii="Lora" w:hAnsi="Lora"/>
          <w:sz w:val="20"/>
          <w:szCs w:val="20"/>
        </w:rPr>
      </w:pPr>
    </w:p>
    <w:p w14:paraId="2252673F" w14:textId="09AD870E" w:rsidR="00FE1013" w:rsidRPr="00BA7C96" w:rsidRDefault="00FE1013" w:rsidP="00493791">
      <w:pPr>
        <w:spacing w:after="0"/>
        <w:rPr>
          <w:rFonts w:ascii="Lora" w:hAnsi="Lora"/>
          <w:sz w:val="20"/>
          <w:szCs w:val="20"/>
        </w:rPr>
      </w:pPr>
    </w:p>
    <w:p w14:paraId="64AAEFFA" w14:textId="58B53359" w:rsidR="003436D3" w:rsidRPr="00BA7C96" w:rsidRDefault="00865E24" w:rsidP="00493791">
      <w:pPr>
        <w:spacing w:after="0"/>
        <w:rPr>
          <w:rFonts w:ascii="Lora" w:hAnsi="Lora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>Stuart Morgan</w:t>
      </w:r>
    </w:p>
    <w:p w14:paraId="50571623" w14:textId="6E9F1E24" w:rsidR="003436D3" w:rsidRPr="00BA7C96" w:rsidRDefault="00FE1013">
      <w:pPr>
        <w:rPr>
          <w:rFonts w:ascii="Lora" w:hAnsi="Lora"/>
          <w:color w:val="2D4978"/>
          <w:sz w:val="20"/>
          <w:szCs w:val="20"/>
        </w:rPr>
      </w:pPr>
      <w:r w:rsidRPr="00BA7C96">
        <w:rPr>
          <w:rFonts w:ascii="Lora" w:hAnsi="Lora"/>
          <w:sz w:val="20"/>
          <w:szCs w:val="20"/>
        </w:rPr>
        <w:t>Senior Investment Analyst</w:t>
      </w:r>
    </w:p>
    <w:sectPr w:rsidR="003436D3" w:rsidRPr="00BA7C96" w:rsidSect="001B04E9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DD16" w14:textId="77777777" w:rsidR="0007472F" w:rsidRDefault="0007472F" w:rsidP="00842513">
      <w:r>
        <w:separator/>
      </w:r>
    </w:p>
  </w:endnote>
  <w:endnote w:type="continuationSeparator" w:id="0">
    <w:p w14:paraId="1286318F" w14:textId="77777777" w:rsidR="0007472F" w:rsidRDefault="0007472F" w:rsidP="0084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388D" w14:textId="77777777" w:rsidR="0007472F" w:rsidRDefault="0007472F" w:rsidP="00842513">
      <w:r>
        <w:separator/>
      </w:r>
    </w:p>
  </w:footnote>
  <w:footnote w:type="continuationSeparator" w:id="0">
    <w:p w14:paraId="744385CC" w14:textId="77777777" w:rsidR="0007472F" w:rsidRDefault="0007472F" w:rsidP="0084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D0A5" w14:textId="56E56EC6" w:rsidR="00842513" w:rsidRPr="00842513" w:rsidRDefault="00842513" w:rsidP="00842513">
    <w:pPr>
      <w:pStyle w:val="Header"/>
      <w:jc w:val="right"/>
      <w:rPr>
        <w:rFonts w:ascii="Lora" w:hAnsi="Lora"/>
        <w:sz w:val="18"/>
        <w:szCs w:val="18"/>
      </w:rPr>
    </w:pPr>
    <w:r w:rsidRPr="00842513">
      <w:rPr>
        <w:rFonts w:ascii="Lora" w:hAnsi="Lora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EDFAC0" wp14:editId="6E780D91">
          <wp:simplePos x="0" y="0"/>
          <wp:positionH relativeFrom="leftMargin">
            <wp:posOffset>708144</wp:posOffset>
          </wp:positionH>
          <wp:positionV relativeFrom="paragraph">
            <wp:posOffset>-71445</wp:posOffset>
          </wp:positionV>
          <wp:extent cx="2043288" cy="598142"/>
          <wp:effectExtent l="0" t="0" r="1905" b="0"/>
          <wp:wrapNone/>
          <wp:docPr id="3" name="Picture 3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38" cy="601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2513">
      <w:rPr>
        <w:rFonts w:ascii="Lora" w:hAnsi="Lora"/>
        <w:sz w:val="18"/>
        <w:szCs w:val="18"/>
      </w:rPr>
      <w:t>Level 14, 330 Collins Street</w:t>
    </w:r>
  </w:p>
  <w:p w14:paraId="3B24C54A" w14:textId="77777777" w:rsidR="00842513" w:rsidRDefault="00842513" w:rsidP="00842513">
    <w:pPr>
      <w:pStyle w:val="Header"/>
      <w:jc w:val="right"/>
      <w:rPr>
        <w:rFonts w:ascii="Lora" w:hAnsi="Lora"/>
        <w:sz w:val="18"/>
        <w:szCs w:val="18"/>
      </w:rPr>
    </w:pPr>
    <w:r w:rsidRPr="00842513">
      <w:rPr>
        <w:rFonts w:ascii="Lora" w:hAnsi="Lora"/>
        <w:sz w:val="18"/>
        <w:szCs w:val="18"/>
      </w:rPr>
      <w:t xml:space="preserve">Melbourne, Victoria, </w:t>
    </w:r>
  </w:p>
  <w:p w14:paraId="6B760182" w14:textId="0F015C72" w:rsidR="00842513" w:rsidRDefault="00842513" w:rsidP="00842513">
    <w:pPr>
      <w:pStyle w:val="Header"/>
      <w:jc w:val="right"/>
      <w:rPr>
        <w:rFonts w:ascii="Lora" w:hAnsi="Lora"/>
        <w:sz w:val="18"/>
        <w:szCs w:val="18"/>
      </w:rPr>
    </w:pPr>
    <w:r w:rsidRPr="00842513">
      <w:rPr>
        <w:rFonts w:ascii="Lora" w:hAnsi="Lora"/>
        <w:sz w:val="18"/>
        <w:szCs w:val="18"/>
      </w:rPr>
      <w:t>Australia</w:t>
    </w:r>
    <w:r>
      <w:rPr>
        <w:rFonts w:ascii="Lora" w:hAnsi="Lora"/>
        <w:sz w:val="18"/>
        <w:szCs w:val="18"/>
      </w:rPr>
      <w:t xml:space="preserve"> </w:t>
    </w:r>
    <w:r w:rsidRPr="00842513">
      <w:rPr>
        <w:rFonts w:ascii="Lora" w:hAnsi="Lora"/>
        <w:sz w:val="18"/>
        <w:szCs w:val="18"/>
      </w:rPr>
      <w:t>3000</w:t>
    </w:r>
  </w:p>
  <w:p w14:paraId="4341952B" w14:textId="72F83B51" w:rsidR="00842513" w:rsidRPr="00842513" w:rsidRDefault="00842513" w:rsidP="00842513">
    <w:pPr>
      <w:pStyle w:val="Header"/>
      <w:jc w:val="right"/>
      <w:rPr>
        <w:rFonts w:ascii="Lora" w:hAnsi="Lora"/>
        <w:sz w:val="18"/>
        <w:szCs w:val="18"/>
      </w:rPr>
    </w:pPr>
    <w:r>
      <w:rPr>
        <w:rFonts w:ascii="Lora" w:hAnsi="Lora"/>
        <w:sz w:val="18"/>
        <w:szCs w:val="18"/>
      </w:rPr>
      <w:t>www.talariacapital.com.au</w:t>
    </w:r>
  </w:p>
  <w:p w14:paraId="36024195" w14:textId="77777777" w:rsidR="00842513" w:rsidRDefault="008425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42513"/>
    <w:rsid w:val="00016BB1"/>
    <w:rsid w:val="000363BF"/>
    <w:rsid w:val="000623CE"/>
    <w:rsid w:val="0007472F"/>
    <w:rsid w:val="00076CC9"/>
    <w:rsid w:val="00093636"/>
    <w:rsid w:val="000B43B9"/>
    <w:rsid w:val="000B722B"/>
    <w:rsid w:val="000C1C49"/>
    <w:rsid w:val="000D2D73"/>
    <w:rsid w:val="000D79AD"/>
    <w:rsid w:val="00102C74"/>
    <w:rsid w:val="00107BD0"/>
    <w:rsid w:val="0013455F"/>
    <w:rsid w:val="00145605"/>
    <w:rsid w:val="00172873"/>
    <w:rsid w:val="00186DEA"/>
    <w:rsid w:val="001A66F2"/>
    <w:rsid w:val="001A6CFE"/>
    <w:rsid w:val="001B04E9"/>
    <w:rsid w:val="001D4476"/>
    <w:rsid w:val="001E49A4"/>
    <w:rsid w:val="00202037"/>
    <w:rsid w:val="00250B7B"/>
    <w:rsid w:val="00276ACE"/>
    <w:rsid w:val="0028075B"/>
    <w:rsid w:val="00283DC9"/>
    <w:rsid w:val="002A4B3D"/>
    <w:rsid w:val="002A649D"/>
    <w:rsid w:val="002D6B96"/>
    <w:rsid w:val="003306BC"/>
    <w:rsid w:val="003436D3"/>
    <w:rsid w:val="003A3F80"/>
    <w:rsid w:val="003B0743"/>
    <w:rsid w:val="003C2570"/>
    <w:rsid w:val="003E054C"/>
    <w:rsid w:val="003F14F6"/>
    <w:rsid w:val="0045061F"/>
    <w:rsid w:val="00493791"/>
    <w:rsid w:val="004C6F77"/>
    <w:rsid w:val="00500750"/>
    <w:rsid w:val="0052349B"/>
    <w:rsid w:val="00546BB3"/>
    <w:rsid w:val="0058707C"/>
    <w:rsid w:val="005B5C46"/>
    <w:rsid w:val="005B752F"/>
    <w:rsid w:val="005F0661"/>
    <w:rsid w:val="00644E2F"/>
    <w:rsid w:val="00645F07"/>
    <w:rsid w:val="0065496C"/>
    <w:rsid w:val="006C13B2"/>
    <w:rsid w:val="006E49B8"/>
    <w:rsid w:val="00702AA0"/>
    <w:rsid w:val="00716A57"/>
    <w:rsid w:val="007435AE"/>
    <w:rsid w:val="00744D73"/>
    <w:rsid w:val="007464CF"/>
    <w:rsid w:val="007838FF"/>
    <w:rsid w:val="00807772"/>
    <w:rsid w:val="00812828"/>
    <w:rsid w:val="00842513"/>
    <w:rsid w:val="008538EA"/>
    <w:rsid w:val="00865E24"/>
    <w:rsid w:val="008A31FE"/>
    <w:rsid w:val="008B1822"/>
    <w:rsid w:val="008B736A"/>
    <w:rsid w:val="008C2B6F"/>
    <w:rsid w:val="008C3EA2"/>
    <w:rsid w:val="008F4A5B"/>
    <w:rsid w:val="008F5004"/>
    <w:rsid w:val="00913B89"/>
    <w:rsid w:val="00925153"/>
    <w:rsid w:val="009747B4"/>
    <w:rsid w:val="009931E6"/>
    <w:rsid w:val="009C54B2"/>
    <w:rsid w:val="009F0EDB"/>
    <w:rsid w:val="00A14EF8"/>
    <w:rsid w:val="00A2064E"/>
    <w:rsid w:val="00A5598A"/>
    <w:rsid w:val="00A72310"/>
    <w:rsid w:val="00A84299"/>
    <w:rsid w:val="00A9590B"/>
    <w:rsid w:val="00AB3FE7"/>
    <w:rsid w:val="00AC3BD6"/>
    <w:rsid w:val="00AE3202"/>
    <w:rsid w:val="00AE647C"/>
    <w:rsid w:val="00B23040"/>
    <w:rsid w:val="00B67C39"/>
    <w:rsid w:val="00BA7C96"/>
    <w:rsid w:val="00BC6B28"/>
    <w:rsid w:val="00C5297A"/>
    <w:rsid w:val="00C83C75"/>
    <w:rsid w:val="00C97CB8"/>
    <w:rsid w:val="00CD61C6"/>
    <w:rsid w:val="00CE6ABE"/>
    <w:rsid w:val="00D11593"/>
    <w:rsid w:val="00D215D1"/>
    <w:rsid w:val="00D562F0"/>
    <w:rsid w:val="00D84F7F"/>
    <w:rsid w:val="00D8711C"/>
    <w:rsid w:val="00DE01A5"/>
    <w:rsid w:val="00E22C91"/>
    <w:rsid w:val="00EF4213"/>
    <w:rsid w:val="00EF6D65"/>
    <w:rsid w:val="00F02605"/>
    <w:rsid w:val="00F25AFA"/>
    <w:rsid w:val="00F32B1F"/>
    <w:rsid w:val="00F600B5"/>
    <w:rsid w:val="00F84DA1"/>
    <w:rsid w:val="00FA5153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7CEB2"/>
  <w15:chartTrackingRefBased/>
  <w15:docId w15:val="{5D17E154-6750-DA46-B147-230D3EA3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9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51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2513"/>
  </w:style>
  <w:style w:type="paragraph" w:styleId="Footer">
    <w:name w:val="footer"/>
    <w:basedOn w:val="Normal"/>
    <w:link w:val="FooterChar"/>
    <w:uiPriority w:val="99"/>
    <w:unhideWhenUsed/>
    <w:rsid w:val="0084251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2513"/>
  </w:style>
  <w:style w:type="paragraph" w:styleId="Revision">
    <w:name w:val="Revision"/>
    <w:hidden/>
    <w:uiPriority w:val="99"/>
    <w:semiHidden/>
    <w:rsid w:val="00F25AF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25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2a2ef1-dc2d-47ca-8c03-23e2d511b2ae" xsi:nil="true"/>
    <lcf76f155ced4ddcb4097134ff3c332f xmlns="e03316f7-7bd3-4121-a190-524f90c34b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7EDA41E8DC64187CFAFDE97EF7756" ma:contentTypeVersion="16" ma:contentTypeDescription="Create a new document." ma:contentTypeScope="" ma:versionID="3de5a9466adc712ca290d36362a40231">
  <xsd:schema xmlns:xsd="http://www.w3.org/2001/XMLSchema" xmlns:xs="http://www.w3.org/2001/XMLSchema" xmlns:p="http://schemas.microsoft.com/office/2006/metadata/properties" xmlns:ns2="e03316f7-7bd3-4121-a190-524f90c34bce" xmlns:ns3="032a2ef1-dc2d-47ca-8c03-23e2d511b2ae" targetNamespace="http://schemas.microsoft.com/office/2006/metadata/properties" ma:root="true" ma:fieldsID="e148d96ec81450f102f9c3dbda2c83b6" ns2:_="" ns3:_="">
    <xsd:import namespace="e03316f7-7bd3-4121-a190-524f90c34bce"/>
    <xsd:import namespace="032a2ef1-dc2d-47ca-8c03-23e2d511b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316f7-7bd3-4121-a190-524f90c34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0fad89-d2ae-474f-849b-74762dfa8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2ef1-dc2d-47ca-8c03-23e2d511b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5f63d1-c5ea-49f7-986b-b9f7ccc6e4af}" ma:internalName="TaxCatchAll" ma:showField="CatchAllData" ma:web="032a2ef1-dc2d-47ca-8c03-23e2d511b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BBFF6-8230-4C72-A55C-DDA461524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9D5D9-BBD3-428A-A72B-1FD41CB8F658}">
  <ds:schemaRefs>
    <ds:schemaRef ds:uri="http://schemas.microsoft.com/office/2006/metadata/properties"/>
    <ds:schemaRef ds:uri="http://schemas.microsoft.com/office/infopath/2007/PartnerControls"/>
    <ds:schemaRef ds:uri="032a2ef1-dc2d-47ca-8c03-23e2d511b2ae"/>
    <ds:schemaRef ds:uri="e03316f7-7bd3-4121-a190-524f90c34bce"/>
  </ds:schemaRefs>
</ds:datastoreItem>
</file>

<file path=customXml/itemProps3.xml><?xml version="1.0" encoding="utf-8"?>
<ds:datastoreItem xmlns:ds="http://schemas.openxmlformats.org/officeDocument/2006/customXml" ds:itemID="{2153EA1D-3E0D-4254-B357-55111BABF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316f7-7bd3-4121-a190-524f90c34bce"/>
    <ds:schemaRef ds:uri="032a2ef1-dc2d-47ca-8c03-23e2d511b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Stuart Morgan</cp:lastModifiedBy>
  <cp:revision>41</cp:revision>
  <cp:lastPrinted>2022-07-12T03:11:00Z</cp:lastPrinted>
  <dcterms:created xsi:type="dcterms:W3CDTF">2022-07-08T06:32:00Z</dcterms:created>
  <dcterms:modified xsi:type="dcterms:W3CDTF">2022-07-12T05:45:00Z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0x0101008A57EDA41E8DC64187CFAFDE97EF7756</vt:lpwstr>
  </property>
  <property fmtid="{D5CDD505-2E9C-101B-9397-08002B2CF9AE}" pid="3" name="MediaServiceImageTags">
    <vt:lpwstr/>
  </property>
</Properties>
</file>